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4F906" w14:textId="38796327" w:rsidR="003D59DF" w:rsidRPr="002D3FAD" w:rsidRDefault="003B4152" w:rsidP="002D3FAD">
      <w:pPr>
        <w:jc w:val="center"/>
        <w:rPr>
          <w:b/>
          <w:bCs/>
          <w:sz w:val="24"/>
          <w:szCs w:val="24"/>
        </w:rPr>
      </w:pPr>
      <w:r>
        <w:rPr>
          <w:b/>
          <w:bCs/>
          <w:sz w:val="24"/>
          <w:szCs w:val="24"/>
        </w:rPr>
        <w:t>Advertiser</w:t>
      </w:r>
      <w:r w:rsidR="00D15222" w:rsidRPr="002D3FAD">
        <w:rPr>
          <w:b/>
          <w:bCs/>
          <w:sz w:val="24"/>
          <w:szCs w:val="24"/>
        </w:rPr>
        <w:t xml:space="preserve"> Terms &amp; Conditions</w:t>
      </w:r>
      <w:r w:rsidR="002D3FAD">
        <w:rPr>
          <w:b/>
          <w:bCs/>
          <w:sz w:val="24"/>
          <w:szCs w:val="24"/>
        </w:rPr>
        <w:br/>
      </w:r>
      <w:r w:rsidR="004B4DF7" w:rsidRPr="002D3FAD">
        <w:rPr>
          <w:b/>
          <w:bCs/>
          <w:sz w:val="24"/>
          <w:szCs w:val="24"/>
        </w:rPr>
        <w:t>(Effective 31 March 2024)</w:t>
      </w:r>
    </w:p>
    <w:p w14:paraId="4DCC128E" w14:textId="00618C37" w:rsidR="004B79F3" w:rsidRPr="002D3FAD" w:rsidRDefault="00DC7D3D" w:rsidP="002D3FAD">
      <w:pPr>
        <w:spacing w:line="240" w:lineRule="auto"/>
        <w:rPr>
          <w:sz w:val="20"/>
          <w:szCs w:val="20"/>
        </w:rPr>
      </w:pPr>
      <w:r w:rsidRPr="002D3FAD">
        <w:rPr>
          <w:sz w:val="20"/>
          <w:szCs w:val="20"/>
        </w:rPr>
        <w:t xml:space="preserve">All advertising bookings made with </w:t>
      </w:r>
      <w:r w:rsidR="00A145A1">
        <w:rPr>
          <w:sz w:val="20"/>
          <w:szCs w:val="20"/>
        </w:rPr>
        <w:t>Tourism Publishing Group</w:t>
      </w:r>
      <w:r w:rsidRPr="002D3FAD">
        <w:rPr>
          <w:sz w:val="20"/>
          <w:szCs w:val="20"/>
        </w:rPr>
        <w:t xml:space="preserve"> (“the publisher”</w:t>
      </w:r>
      <w:r w:rsidR="00CD051A">
        <w:rPr>
          <w:sz w:val="20"/>
          <w:szCs w:val="20"/>
        </w:rPr>
        <w:t>)</w:t>
      </w:r>
      <w:r w:rsidRPr="002D3FAD">
        <w:rPr>
          <w:sz w:val="20"/>
          <w:szCs w:val="20"/>
        </w:rPr>
        <w:t xml:space="preserve"> are subject </w:t>
      </w:r>
      <w:r w:rsidR="00CD051A">
        <w:rPr>
          <w:sz w:val="20"/>
          <w:szCs w:val="20"/>
        </w:rPr>
        <w:t xml:space="preserve">to these </w:t>
      </w:r>
      <w:r w:rsidRPr="002D3FAD">
        <w:rPr>
          <w:sz w:val="20"/>
          <w:szCs w:val="20"/>
        </w:rPr>
        <w:t>Terms &amp; Conditions</w:t>
      </w:r>
      <w:r w:rsidR="00CD051A">
        <w:rPr>
          <w:sz w:val="20"/>
          <w:szCs w:val="20"/>
        </w:rPr>
        <w:t xml:space="preserve">. </w:t>
      </w:r>
      <w:r w:rsidR="004B79F3" w:rsidRPr="002D3FAD">
        <w:rPr>
          <w:sz w:val="20"/>
          <w:szCs w:val="20"/>
        </w:rPr>
        <w:t>These Terms &amp; Conditions replace all previous Terms &amp; Conditions</w:t>
      </w:r>
      <w:r w:rsidR="00567CD0" w:rsidRPr="002D3FAD">
        <w:rPr>
          <w:sz w:val="20"/>
          <w:szCs w:val="20"/>
        </w:rPr>
        <w:t xml:space="preserve"> </w:t>
      </w:r>
      <w:r w:rsidR="008B7F0F" w:rsidRPr="002D3FAD">
        <w:rPr>
          <w:sz w:val="20"/>
          <w:szCs w:val="20"/>
        </w:rPr>
        <w:t xml:space="preserve">and are subject to change without notice. </w:t>
      </w:r>
    </w:p>
    <w:p w14:paraId="70ED33F4" w14:textId="54DCFB95" w:rsidR="008F781E" w:rsidRPr="00577EFF" w:rsidRDefault="008F781E" w:rsidP="00414E9C">
      <w:pPr>
        <w:pStyle w:val="ListParagraph"/>
        <w:numPr>
          <w:ilvl w:val="0"/>
          <w:numId w:val="4"/>
        </w:numPr>
        <w:spacing w:after="0" w:line="240" w:lineRule="auto"/>
        <w:rPr>
          <w:sz w:val="20"/>
          <w:szCs w:val="20"/>
        </w:rPr>
      </w:pPr>
      <w:r w:rsidRPr="00577EFF">
        <w:rPr>
          <w:b/>
          <w:bCs/>
          <w:sz w:val="20"/>
          <w:szCs w:val="20"/>
        </w:rPr>
        <w:t>HOW TO BOOK</w:t>
      </w:r>
      <w:r w:rsidRPr="00577EFF">
        <w:rPr>
          <w:sz w:val="20"/>
          <w:szCs w:val="20"/>
        </w:rPr>
        <w:t xml:space="preserve"> - An advertising booking can be made by email, verbally or</w:t>
      </w:r>
      <w:r w:rsidR="009E066D" w:rsidRPr="00577EFF">
        <w:rPr>
          <w:sz w:val="20"/>
          <w:szCs w:val="20"/>
        </w:rPr>
        <w:t xml:space="preserve"> by completing an online booking form</w:t>
      </w:r>
      <w:r w:rsidR="004B79F3" w:rsidRPr="00577EFF">
        <w:rPr>
          <w:sz w:val="20"/>
          <w:szCs w:val="20"/>
        </w:rPr>
        <w:t xml:space="preserve">. </w:t>
      </w:r>
    </w:p>
    <w:p w14:paraId="6CFA3428" w14:textId="5D5D39DB" w:rsidR="00D15222" w:rsidRPr="00577EFF" w:rsidRDefault="004B79F3" w:rsidP="00414E9C">
      <w:pPr>
        <w:pStyle w:val="ListParagraph"/>
        <w:numPr>
          <w:ilvl w:val="0"/>
          <w:numId w:val="4"/>
        </w:numPr>
        <w:spacing w:after="0" w:line="240" w:lineRule="auto"/>
        <w:rPr>
          <w:sz w:val="20"/>
          <w:szCs w:val="20"/>
        </w:rPr>
      </w:pPr>
      <w:r w:rsidRPr="00577EFF">
        <w:rPr>
          <w:b/>
          <w:bCs/>
          <w:sz w:val="20"/>
          <w:szCs w:val="20"/>
        </w:rPr>
        <w:t>BOOKING</w:t>
      </w:r>
      <w:r w:rsidR="008F781E" w:rsidRPr="00577EFF">
        <w:rPr>
          <w:b/>
          <w:bCs/>
          <w:sz w:val="20"/>
          <w:szCs w:val="20"/>
        </w:rPr>
        <w:t xml:space="preserve"> FORM</w:t>
      </w:r>
      <w:r w:rsidR="00656E58" w:rsidRPr="00577EFF">
        <w:rPr>
          <w:sz w:val="20"/>
          <w:szCs w:val="20"/>
        </w:rPr>
        <w:t xml:space="preserve">—The relevant </w:t>
      </w:r>
      <w:r w:rsidR="00656E58" w:rsidRPr="00577EFF">
        <w:rPr>
          <w:b/>
          <w:bCs/>
          <w:sz w:val="20"/>
          <w:szCs w:val="20"/>
        </w:rPr>
        <w:t>Booking Form</w:t>
      </w:r>
      <w:r w:rsidR="00656E58" w:rsidRPr="00577EFF">
        <w:rPr>
          <w:sz w:val="20"/>
          <w:szCs w:val="20"/>
        </w:rPr>
        <w:t xml:space="preserve"> will be emailed to the advertiser </w:t>
      </w:r>
      <w:r w:rsidR="00D15222" w:rsidRPr="00577EFF">
        <w:rPr>
          <w:sz w:val="20"/>
          <w:szCs w:val="20"/>
        </w:rPr>
        <w:t>at the time of booking</w:t>
      </w:r>
      <w:r w:rsidR="00DC7D3D" w:rsidRPr="00577EFF">
        <w:rPr>
          <w:sz w:val="20"/>
          <w:szCs w:val="20"/>
        </w:rPr>
        <w:t>,</w:t>
      </w:r>
      <w:r w:rsidR="00D15222" w:rsidRPr="00577EFF">
        <w:rPr>
          <w:sz w:val="20"/>
          <w:szCs w:val="20"/>
        </w:rPr>
        <w:t xml:space="preserve"> regardless of the method of booking</w:t>
      </w:r>
      <w:r w:rsidRPr="00577EFF">
        <w:rPr>
          <w:sz w:val="20"/>
          <w:szCs w:val="20"/>
        </w:rPr>
        <w:t xml:space="preserve"> (above).</w:t>
      </w:r>
      <w:r w:rsidR="00656E58" w:rsidRPr="00577EFF">
        <w:rPr>
          <w:sz w:val="20"/>
          <w:szCs w:val="20"/>
        </w:rPr>
        <w:t xml:space="preserve"> It is the </w:t>
      </w:r>
      <w:r w:rsidR="00542101">
        <w:rPr>
          <w:sz w:val="20"/>
          <w:szCs w:val="20"/>
        </w:rPr>
        <w:t>advertiser's responsibility</w:t>
      </w:r>
      <w:r w:rsidR="00656E58" w:rsidRPr="00577EFF">
        <w:rPr>
          <w:sz w:val="20"/>
          <w:szCs w:val="20"/>
        </w:rPr>
        <w:t xml:space="preserve"> to ensure that the email address provided at the time of booking is correct.</w:t>
      </w:r>
    </w:p>
    <w:p w14:paraId="7A7FB76A" w14:textId="7F2E70DE" w:rsidR="00656E58" w:rsidRPr="00577EFF" w:rsidRDefault="008F781E" w:rsidP="00414E9C">
      <w:pPr>
        <w:pStyle w:val="ListParagraph"/>
        <w:numPr>
          <w:ilvl w:val="0"/>
          <w:numId w:val="4"/>
        </w:numPr>
        <w:spacing w:after="0" w:line="240" w:lineRule="auto"/>
        <w:rPr>
          <w:sz w:val="20"/>
          <w:szCs w:val="20"/>
        </w:rPr>
      </w:pPr>
      <w:r w:rsidRPr="00577EFF">
        <w:rPr>
          <w:b/>
          <w:bCs/>
          <w:sz w:val="20"/>
          <w:szCs w:val="20"/>
        </w:rPr>
        <w:t>ACCEPTANCE OF BOOKING</w:t>
      </w:r>
      <w:r w:rsidR="00DC7D3D" w:rsidRPr="00577EFF">
        <w:rPr>
          <w:sz w:val="20"/>
          <w:szCs w:val="20"/>
        </w:rPr>
        <w:t xml:space="preserve">- </w:t>
      </w:r>
      <w:r w:rsidR="00656E58" w:rsidRPr="00577EFF">
        <w:rPr>
          <w:sz w:val="20"/>
          <w:szCs w:val="20"/>
        </w:rPr>
        <w:t>The booking agreement</w:t>
      </w:r>
      <w:r w:rsidR="00DC7D3D" w:rsidRPr="00577EFF">
        <w:rPr>
          <w:sz w:val="20"/>
          <w:szCs w:val="20"/>
        </w:rPr>
        <w:t xml:space="preserve"> is constituted by</w:t>
      </w:r>
      <w:r w:rsidR="00656E58" w:rsidRPr="00577EFF">
        <w:rPr>
          <w:sz w:val="20"/>
          <w:szCs w:val="20"/>
        </w:rPr>
        <w:t>:</w:t>
      </w:r>
    </w:p>
    <w:p w14:paraId="536B66A3" w14:textId="7F916B84" w:rsidR="00656E58" w:rsidRDefault="00656E58" w:rsidP="00414E9C">
      <w:pPr>
        <w:pStyle w:val="ListParagraph"/>
        <w:numPr>
          <w:ilvl w:val="0"/>
          <w:numId w:val="7"/>
        </w:numPr>
        <w:spacing w:after="0" w:line="240" w:lineRule="auto"/>
        <w:rPr>
          <w:sz w:val="20"/>
          <w:szCs w:val="20"/>
        </w:rPr>
      </w:pPr>
      <w:r>
        <w:rPr>
          <w:sz w:val="20"/>
          <w:szCs w:val="20"/>
        </w:rPr>
        <w:t xml:space="preserve">The advertiser </w:t>
      </w:r>
      <w:r w:rsidR="00DC7D3D" w:rsidRPr="00656E58">
        <w:rPr>
          <w:sz w:val="20"/>
          <w:szCs w:val="20"/>
        </w:rPr>
        <w:t xml:space="preserve">signing </w:t>
      </w:r>
      <w:r w:rsidRPr="00656E58">
        <w:rPr>
          <w:sz w:val="20"/>
          <w:szCs w:val="20"/>
        </w:rPr>
        <w:t xml:space="preserve">the </w:t>
      </w:r>
      <w:r w:rsidR="00DC7D3D" w:rsidRPr="00656E58">
        <w:rPr>
          <w:sz w:val="20"/>
          <w:szCs w:val="20"/>
        </w:rPr>
        <w:t>booking form and returning it to the sender</w:t>
      </w:r>
      <w:r w:rsidRPr="00656E58">
        <w:rPr>
          <w:sz w:val="20"/>
          <w:szCs w:val="20"/>
        </w:rPr>
        <w:t>/publisher</w:t>
      </w:r>
      <w:r>
        <w:rPr>
          <w:sz w:val="20"/>
          <w:szCs w:val="20"/>
        </w:rPr>
        <w:t xml:space="preserve">; </w:t>
      </w:r>
      <w:r w:rsidRPr="00656E58">
        <w:rPr>
          <w:b/>
          <w:bCs/>
          <w:sz w:val="20"/>
          <w:szCs w:val="20"/>
        </w:rPr>
        <w:t>or</w:t>
      </w:r>
      <w:r w:rsidR="00DC7D3D" w:rsidRPr="00656E58">
        <w:rPr>
          <w:sz w:val="20"/>
          <w:szCs w:val="20"/>
        </w:rPr>
        <w:t xml:space="preserve"> </w:t>
      </w:r>
    </w:p>
    <w:p w14:paraId="2AED93C7" w14:textId="593273CD" w:rsidR="00656E58" w:rsidRDefault="00656E58" w:rsidP="00414E9C">
      <w:pPr>
        <w:pStyle w:val="ListParagraph"/>
        <w:numPr>
          <w:ilvl w:val="0"/>
          <w:numId w:val="7"/>
        </w:numPr>
        <w:spacing w:after="0" w:line="240" w:lineRule="auto"/>
        <w:rPr>
          <w:sz w:val="20"/>
          <w:szCs w:val="20"/>
        </w:rPr>
      </w:pPr>
      <w:r>
        <w:rPr>
          <w:sz w:val="20"/>
          <w:szCs w:val="20"/>
        </w:rPr>
        <w:t>The advertiser su</w:t>
      </w:r>
      <w:r w:rsidR="00DC7D3D" w:rsidRPr="00656E58">
        <w:rPr>
          <w:sz w:val="20"/>
          <w:szCs w:val="20"/>
        </w:rPr>
        <w:t>pplying artwork for inclusion in the booked publication by the provided deadline</w:t>
      </w:r>
      <w:r>
        <w:rPr>
          <w:sz w:val="20"/>
          <w:szCs w:val="20"/>
        </w:rPr>
        <w:t xml:space="preserve">; </w:t>
      </w:r>
      <w:r w:rsidRPr="00656E58">
        <w:rPr>
          <w:b/>
          <w:bCs/>
          <w:sz w:val="20"/>
          <w:szCs w:val="20"/>
        </w:rPr>
        <w:t>or</w:t>
      </w:r>
      <w:r w:rsidR="00DC7D3D" w:rsidRPr="00656E58">
        <w:rPr>
          <w:sz w:val="20"/>
          <w:szCs w:val="20"/>
        </w:rPr>
        <w:t xml:space="preserve"> </w:t>
      </w:r>
    </w:p>
    <w:p w14:paraId="000C6D02" w14:textId="5F61D2F3" w:rsidR="009F508A" w:rsidRPr="00656E58" w:rsidRDefault="00656E58" w:rsidP="00414E9C">
      <w:pPr>
        <w:pStyle w:val="ListParagraph"/>
        <w:numPr>
          <w:ilvl w:val="0"/>
          <w:numId w:val="7"/>
        </w:numPr>
        <w:spacing w:after="0" w:line="240" w:lineRule="auto"/>
        <w:rPr>
          <w:sz w:val="20"/>
          <w:szCs w:val="20"/>
        </w:rPr>
      </w:pPr>
      <w:r>
        <w:rPr>
          <w:sz w:val="20"/>
          <w:szCs w:val="20"/>
        </w:rPr>
        <w:t xml:space="preserve">The advertiser supplying </w:t>
      </w:r>
      <w:r w:rsidR="00DC7D3D" w:rsidRPr="00656E58">
        <w:rPr>
          <w:sz w:val="20"/>
          <w:szCs w:val="20"/>
        </w:rPr>
        <w:t>amendments and/or approval of artwork created by the publisher and supplied to the advertiser by the provided deadline</w:t>
      </w:r>
      <w:r w:rsidR="004B4DF7" w:rsidRPr="00656E58">
        <w:rPr>
          <w:sz w:val="20"/>
          <w:szCs w:val="20"/>
        </w:rPr>
        <w:t>.</w:t>
      </w:r>
      <w:r w:rsidR="00D15222" w:rsidRPr="00656E58">
        <w:rPr>
          <w:sz w:val="20"/>
          <w:szCs w:val="20"/>
        </w:rPr>
        <w:t xml:space="preserve"> </w:t>
      </w:r>
    </w:p>
    <w:p w14:paraId="7CFCDA5A" w14:textId="7247F8AC" w:rsidR="00656E58" w:rsidRPr="00577EFF" w:rsidRDefault="008F781E" w:rsidP="00414E9C">
      <w:pPr>
        <w:pStyle w:val="ListParagraph"/>
        <w:numPr>
          <w:ilvl w:val="0"/>
          <w:numId w:val="4"/>
        </w:numPr>
        <w:spacing w:after="0" w:line="240" w:lineRule="auto"/>
        <w:rPr>
          <w:sz w:val="20"/>
          <w:szCs w:val="20"/>
        </w:rPr>
      </w:pPr>
      <w:r w:rsidRPr="00577EFF">
        <w:rPr>
          <w:b/>
          <w:bCs/>
          <w:sz w:val="20"/>
          <w:szCs w:val="20"/>
        </w:rPr>
        <w:t>CANCELLATION</w:t>
      </w:r>
      <w:r w:rsidRPr="00577EFF">
        <w:rPr>
          <w:sz w:val="20"/>
          <w:szCs w:val="20"/>
        </w:rPr>
        <w:t xml:space="preserve"> </w:t>
      </w:r>
    </w:p>
    <w:p w14:paraId="1383DD44" w14:textId="6F2FC1EC" w:rsidR="00577EFF" w:rsidRPr="00577EFF" w:rsidRDefault="004B4DF7" w:rsidP="00414E9C">
      <w:pPr>
        <w:pStyle w:val="ListParagraph"/>
        <w:numPr>
          <w:ilvl w:val="0"/>
          <w:numId w:val="8"/>
        </w:numPr>
        <w:spacing w:after="0" w:line="240" w:lineRule="auto"/>
        <w:rPr>
          <w:sz w:val="20"/>
          <w:szCs w:val="20"/>
        </w:rPr>
      </w:pPr>
      <w:r w:rsidRPr="00577EFF">
        <w:rPr>
          <w:sz w:val="20"/>
          <w:szCs w:val="20"/>
        </w:rPr>
        <w:t xml:space="preserve">If </w:t>
      </w:r>
      <w:r w:rsidR="00577EFF" w:rsidRPr="00577EFF">
        <w:rPr>
          <w:sz w:val="20"/>
          <w:szCs w:val="20"/>
        </w:rPr>
        <w:t xml:space="preserve">a booking is cancelled </w:t>
      </w:r>
      <w:r w:rsidR="00577EFF" w:rsidRPr="00577EFF">
        <w:rPr>
          <w:b/>
          <w:bCs/>
          <w:sz w:val="20"/>
          <w:szCs w:val="20"/>
        </w:rPr>
        <w:t>in writing</w:t>
      </w:r>
      <w:r w:rsidR="00577EFF" w:rsidRPr="00577EFF">
        <w:rPr>
          <w:sz w:val="20"/>
          <w:szCs w:val="20"/>
        </w:rPr>
        <w:t xml:space="preserve"> within 3 days of being made </w:t>
      </w:r>
      <w:r w:rsidR="00414E9C">
        <w:rPr>
          <w:sz w:val="20"/>
          <w:szCs w:val="20"/>
        </w:rPr>
        <w:t>(see 1)</w:t>
      </w:r>
      <w:r w:rsidR="00577EFF" w:rsidRPr="00577EFF">
        <w:rPr>
          <w:sz w:val="20"/>
          <w:szCs w:val="20"/>
        </w:rPr>
        <w:t xml:space="preserve"> or 3</w:t>
      </w:r>
      <w:r w:rsidR="003B4152">
        <w:rPr>
          <w:sz w:val="20"/>
          <w:szCs w:val="20"/>
        </w:rPr>
        <w:t xml:space="preserve"> or more</w:t>
      </w:r>
      <w:r w:rsidR="00577EFF" w:rsidRPr="00577EFF">
        <w:rPr>
          <w:sz w:val="20"/>
          <w:szCs w:val="20"/>
        </w:rPr>
        <w:t xml:space="preserve"> days prior to the provided deadline for the supply of material or finished artwork (whichever comes first), the booking will be cancelled, and no fee will be charged. If</w:t>
      </w:r>
      <w:r w:rsidR="008B7F0F" w:rsidRPr="00577EFF">
        <w:rPr>
          <w:sz w:val="20"/>
          <w:szCs w:val="20"/>
        </w:rPr>
        <w:t xml:space="preserve"> </w:t>
      </w:r>
      <w:r w:rsidR="00577EFF" w:rsidRPr="00577EFF">
        <w:rPr>
          <w:sz w:val="20"/>
          <w:szCs w:val="20"/>
        </w:rPr>
        <w:t>the publisher produced artwork</w:t>
      </w:r>
      <w:r w:rsidR="008B7F0F" w:rsidRPr="00577EFF">
        <w:rPr>
          <w:sz w:val="20"/>
          <w:szCs w:val="20"/>
        </w:rPr>
        <w:t xml:space="preserve"> prior to cancellation, the advertiser agrees to pay artwork charges at the publisher's normal hourly rate. </w:t>
      </w:r>
    </w:p>
    <w:p w14:paraId="7FC567EC" w14:textId="29CBF0B9" w:rsidR="00577EFF" w:rsidRDefault="00577EFF" w:rsidP="00414E9C">
      <w:pPr>
        <w:pStyle w:val="ListParagraph"/>
        <w:numPr>
          <w:ilvl w:val="0"/>
          <w:numId w:val="8"/>
        </w:numPr>
        <w:spacing w:after="0" w:line="240" w:lineRule="auto"/>
        <w:rPr>
          <w:sz w:val="20"/>
          <w:szCs w:val="20"/>
        </w:rPr>
      </w:pPr>
      <w:r w:rsidRPr="00656E58">
        <w:rPr>
          <w:sz w:val="20"/>
          <w:szCs w:val="20"/>
        </w:rPr>
        <w:t xml:space="preserve">If a booking </w:t>
      </w:r>
      <w:r>
        <w:rPr>
          <w:sz w:val="20"/>
          <w:szCs w:val="20"/>
        </w:rPr>
        <w:t>is cancelled after 3 days of being made (</w:t>
      </w:r>
      <w:r w:rsidR="00414E9C">
        <w:rPr>
          <w:sz w:val="20"/>
          <w:szCs w:val="20"/>
        </w:rPr>
        <w:t>see</w:t>
      </w:r>
      <w:r>
        <w:rPr>
          <w:sz w:val="20"/>
          <w:szCs w:val="20"/>
        </w:rPr>
        <w:t xml:space="preserve"> 1) or within 3 days </w:t>
      </w:r>
      <w:r w:rsidR="003B4152">
        <w:rPr>
          <w:sz w:val="20"/>
          <w:szCs w:val="20"/>
        </w:rPr>
        <w:t>of</w:t>
      </w:r>
      <w:r>
        <w:rPr>
          <w:sz w:val="20"/>
          <w:szCs w:val="20"/>
        </w:rPr>
        <w:t xml:space="preserve"> the </w:t>
      </w:r>
      <w:r w:rsidR="003B4152">
        <w:rPr>
          <w:sz w:val="20"/>
          <w:szCs w:val="20"/>
        </w:rPr>
        <w:t xml:space="preserve">provided </w:t>
      </w:r>
      <w:r>
        <w:rPr>
          <w:sz w:val="20"/>
          <w:szCs w:val="20"/>
        </w:rPr>
        <w:t xml:space="preserve">deadline for the supply of material or finished artwork (whichever comes first), </w:t>
      </w:r>
      <w:r w:rsidRPr="00656E58">
        <w:rPr>
          <w:sz w:val="20"/>
          <w:szCs w:val="20"/>
        </w:rPr>
        <w:t xml:space="preserve">100% of the booking </w:t>
      </w:r>
      <w:r w:rsidR="00414E9C">
        <w:rPr>
          <w:sz w:val="20"/>
          <w:szCs w:val="20"/>
        </w:rPr>
        <w:t>rate</w:t>
      </w:r>
      <w:r w:rsidRPr="00656E58">
        <w:rPr>
          <w:sz w:val="20"/>
          <w:szCs w:val="20"/>
        </w:rPr>
        <w:t xml:space="preserve"> for that booking will be in</w:t>
      </w:r>
      <w:r>
        <w:rPr>
          <w:sz w:val="20"/>
          <w:szCs w:val="20"/>
        </w:rPr>
        <w:t xml:space="preserve">curred by the advertiser as a cancellation fee. </w:t>
      </w:r>
      <w:r w:rsidRPr="00577EFF">
        <w:rPr>
          <w:sz w:val="20"/>
          <w:szCs w:val="20"/>
        </w:rPr>
        <w:t>If the publisher produced artwork prior to cancellation, the advertiser agrees to pay artwork charges at the publisher's normal hourly rate</w:t>
      </w:r>
      <w:r w:rsidR="00414E9C">
        <w:rPr>
          <w:sz w:val="20"/>
          <w:szCs w:val="20"/>
        </w:rPr>
        <w:t xml:space="preserve"> in addition to the cancellation fee</w:t>
      </w:r>
      <w:r w:rsidRPr="00577EFF">
        <w:rPr>
          <w:sz w:val="20"/>
          <w:szCs w:val="20"/>
        </w:rPr>
        <w:t>.</w:t>
      </w:r>
    </w:p>
    <w:p w14:paraId="790C7379" w14:textId="2BA3DCC3" w:rsidR="00414E9C" w:rsidRDefault="00656E58" w:rsidP="00414E9C">
      <w:pPr>
        <w:pStyle w:val="ListParagraph"/>
        <w:numPr>
          <w:ilvl w:val="0"/>
          <w:numId w:val="8"/>
        </w:numPr>
        <w:spacing w:after="0" w:line="240" w:lineRule="auto"/>
        <w:rPr>
          <w:sz w:val="20"/>
          <w:szCs w:val="20"/>
        </w:rPr>
      </w:pPr>
      <w:r w:rsidRPr="00656E58">
        <w:rPr>
          <w:sz w:val="20"/>
          <w:szCs w:val="20"/>
        </w:rPr>
        <w:t xml:space="preserve">If a multi-issue booking is cancelled prior to completion, </w:t>
      </w:r>
      <w:r w:rsidR="00087EBB">
        <w:rPr>
          <w:sz w:val="20"/>
          <w:szCs w:val="20"/>
        </w:rPr>
        <w:t xml:space="preserve">60 days notice in writing is to be provided, and </w:t>
      </w:r>
      <w:r w:rsidRPr="00656E58">
        <w:rPr>
          <w:sz w:val="20"/>
          <w:szCs w:val="20"/>
        </w:rPr>
        <w:t xml:space="preserve">all discounts applied to advertising already completed will be reversed and invoiced in addition to any cancellation fees incurred. </w:t>
      </w:r>
    </w:p>
    <w:p w14:paraId="7DBA1327" w14:textId="6B290BA0" w:rsidR="00656E58" w:rsidRDefault="00656E58" w:rsidP="00414E9C">
      <w:pPr>
        <w:pStyle w:val="ListParagraph"/>
        <w:numPr>
          <w:ilvl w:val="0"/>
          <w:numId w:val="8"/>
        </w:numPr>
        <w:spacing w:after="0" w:line="240" w:lineRule="auto"/>
        <w:rPr>
          <w:sz w:val="20"/>
          <w:szCs w:val="20"/>
        </w:rPr>
      </w:pPr>
      <w:r w:rsidRPr="00656E58">
        <w:rPr>
          <w:sz w:val="20"/>
          <w:szCs w:val="20"/>
        </w:rPr>
        <w:t>Pre-paid multi-issue bookings will not be refunde</w:t>
      </w:r>
      <w:r w:rsidR="00414E9C">
        <w:rPr>
          <w:sz w:val="20"/>
          <w:szCs w:val="20"/>
        </w:rPr>
        <w:t>d</w:t>
      </w:r>
      <w:r w:rsidRPr="00656E58">
        <w:rPr>
          <w:sz w:val="20"/>
          <w:szCs w:val="20"/>
        </w:rPr>
        <w:t>.</w:t>
      </w:r>
    </w:p>
    <w:p w14:paraId="1EA85B54" w14:textId="2CBC9F75" w:rsidR="004B4DF7" w:rsidRPr="00414E9C" w:rsidRDefault="004B4DF7" w:rsidP="00414E9C">
      <w:pPr>
        <w:pStyle w:val="ListParagraph"/>
        <w:numPr>
          <w:ilvl w:val="0"/>
          <w:numId w:val="4"/>
        </w:numPr>
        <w:spacing w:after="0" w:line="240" w:lineRule="auto"/>
        <w:rPr>
          <w:sz w:val="20"/>
          <w:szCs w:val="20"/>
        </w:rPr>
      </w:pPr>
      <w:r w:rsidRPr="00414E9C">
        <w:rPr>
          <w:b/>
          <w:bCs/>
          <w:sz w:val="20"/>
          <w:szCs w:val="20"/>
        </w:rPr>
        <w:t>INVOICES</w:t>
      </w:r>
      <w:r w:rsidRPr="00414E9C">
        <w:rPr>
          <w:sz w:val="20"/>
          <w:szCs w:val="20"/>
        </w:rPr>
        <w:t xml:space="preserve"> -Invoices will be sent by email on the date the publication is received into our storage facilities and/or distributed (whichever comes first), with the following terms:</w:t>
      </w:r>
      <w:r w:rsidR="00DC7D3D" w:rsidRPr="00414E9C">
        <w:rPr>
          <w:sz w:val="20"/>
          <w:szCs w:val="20"/>
        </w:rPr>
        <w:t xml:space="preserve"> </w:t>
      </w:r>
      <w:r w:rsidRPr="00414E9C">
        <w:rPr>
          <w:sz w:val="20"/>
          <w:szCs w:val="20"/>
        </w:rPr>
        <w:t xml:space="preserve"> </w:t>
      </w:r>
    </w:p>
    <w:p w14:paraId="4EC82648" w14:textId="2BEA3EBA" w:rsidR="004B4DF7" w:rsidRPr="002D3FAD" w:rsidRDefault="004B4DF7" w:rsidP="00414E9C">
      <w:pPr>
        <w:pStyle w:val="ListParagraph"/>
        <w:numPr>
          <w:ilvl w:val="0"/>
          <w:numId w:val="9"/>
        </w:numPr>
        <w:spacing w:after="0" w:line="240" w:lineRule="auto"/>
        <w:rPr>
          <w:sz w:val="20"/>
          <w:szCs w:val="20"/>
        </w:rPr>
      </w:pPr>
      <w:r w:rsidRPr="002D3FAD">
        <w:rPr>
          <w:sz w:val="20"/>
          <w:szCs w:val="20"/>
        </w:rPr>
        <w:t xml:space="preserve">Under $500 (excl </w:t>
      </w:r>
      <w:r w:rsidR="00567CD0" w:rsidRPr="002D3FAD">
        <w:rPr>
          <w:sz w:val="20"/>
          <w:szCs w:val="20"/>
        </w:rPr>
        <w:t>GST</w:t>
      </w:r>
      <w:r w:rsidRPr="002D3FAD">
        <w:rPr>
          <w:sz w:val="20"/>
          <w:szCs w:val="20"/>
        </w:rPr>
        <w:t>) – 7 days</w:t>
      </w:r>
    </w:p>
    <w:p w14:paraId="64EF8A28" w14:textId="5EBE707C" w:rsidR="004B4DF7" w:rsidRPr="002D3FAD" w:rsidRDefault="004B4DF7" w:rsidP="00414E9C">
      <w:pPr>
        <w:pStyle w:val="ListParagraph"/>
        <w:numPr>
          <w:ilvl w:val="0"/>
          <w:numId w:val="9"/>
        </w:numPr>
        <w:spacing w:after="0" w:line="240" w:lineRule="auto"/>
        <w:rPr>
          <w:sz w:val="20"/>
          <w:szCs w:val="20"/>
        </w:rPr>
      </w:pPr>
      <w:r w:rsidRPr="002D3FAD">
        <w:rPr>
          <w:sz w:val="20"/>
          <w:szCs w:val="20"/>
        </w:rPr>
        <w:t xml:space="preserve">Under $1000 (excl </w:t>
      </w:r>
      <w:r w:rsidR="00567CD0" w:rsidRPr="002D3FAD">
        <w:rPr>
          <w:sz w:val="20"/>
          <w:szCs w:val="20"/>
        </w:rPr>
        <w:t>GST</w:t>
      </w:r>
      <w:r w:rsidRPr="002D3FAD">
        <w:rPr>
          <w:sz w:val="20"/>
          <w:szCs w:val="20"/>
        </w:rPr>
        <w:t>) – 14 days</w:t>
      </w:r>
    </w:p>
    <w:p w14:paraId="48B39BF9" w14:textId="61F0E329" w:rsidR="004B4DF7" w:rsidRPr="002D3FAD" w:rsidRDefault="004B4DF7" w:rsidP="00414E9C">
      <w:pPr>
        <w:pStyle w:val="ListParagraph"/>
        <w:numPr>
          <w:ilvl w:val="0"/>
          <w:numId w:val="9"/>
        </w:numPr>
        <w:spacing w:after="0" w:line="240" w:lineRule="auto"/>
        <w:rPr>
          <w:sz w:val="20"/>
          <w:szCs w:val="20"/>
        </w:rPr>
      </w:pPr>
      <w:r w:rsidRPr="002D3FAD">
        <w:rPr>
          <w:sz w:val="20"/>
          <w:szCs w:val="20"/>
        </w:rPr>
        <w:t xml:space="preserve">Over $1000 (excl </w:t>
      </w:r>
      <w:r w:rsidR="00567CD0" w:rsidRPr="002D3FAD">
        <w:rPr>
          <w:sz w:val="20"/>
          <w:szCs w:val="20"/>
        </w:rPr>
        <w:t>GST</w:t>
      </w:r>
      <w:r w:rsidRPr="002D3FAD">
        <w:rPr>
          <w:sz w:val="20"/>
          <w:szCs w:val="20"/>
        </w:rPr>
        <w:t>) – 28 days</w:t>
      </w:r>
    </w:p>
    <w:p w14:paraId="72235E2B" w14:textId="3DC47DCA" w:rsidR="00ED5C19" w:rsidRPr="00ED5C19" w:rsidRDefault="00DC7D3D" w:rsidP="00ED5C19">
      <w:pPr>
        <w:pStyle w:val="ListParagraph"/>
        <w:numPr>
          <w:ilvl w:val="0"/>
          <w:numId w:val="4"/>
        </w:numPr>
        <w:spacing w:after="0"/>
        <w:rPr>
          <w:rFonts w:cs="Calibri"/>
          <w:sz w:val="20"/>
          <w:szCs w:val="20"/>
        </w:rPr>
      </w:pPr>
      <w:r w:rsidRPr="00ED5C19">
        <w:rPr>
          <w:b/>
          <w:bCs/>
          <w:sz w:val="20"/>
          <w:szCs w:val="20"/>
        </w:rPr>
        <w:t>PAYMENT OF INVOICES</w:t>
      </w:r>
      <w:r w:rsidR="00ED5C19">
        <w:rPr>
          <w:sz w:val="20"/>
          <w:szCs w:val="20"/>
        </w:rPr>
        <w:t>—By proceeding with your booking, you agree to settle all invoices according to the agreed payment terms. Within reason, late payment of invoices will incur a late payment fee as per</w:t>
      </w:r>
      <w:r w:rsidR="00621CA4">
        <w:rPr>
          <w:sz w:val="20"/>
          <w:szCs w:val="20"/>
        </w:rPr>
        <w:t xml:space="preserve"> </w:t>
      </w:r>
      <w:r w:rsidR="00621CA4" w:rsidRPr="00621CA4">
        <w:rPr>
          <w:b/>
          <w:bCs/>
          <w:sz w:val="20"/>
          <w:szCs w:val="20"/>
        </w:rPr>
        <w:t>Clause</w:t>
      </w:r>
      <w:r w:rsidR="00ED5C19" w:rsidRPr="00621CA4">
        <w:rPr>
          <w:b/>
          <w:bCs/>
          <w:sz w:val="20"/>
          <w:szCs w:val="20"/>
        </w:rPr>
        <w:t xml:space="preserve"> 7)</w:t>
      </w:r>
      <w:r w:rsidR="00ED5C19">
        <w:rPr>
          <w:sz w:val="20"/>
          <w:szCs w:val="20"/>
        </w:rPr>
        <w:t xml:space="preserve"> below. Advertising bookings will not be cancelled due to</w:t>
      </w:r>
      <w:r w:rsidR="00ED5C19" w:rsidRPr="00ED5C19">
        <w:rPr>
          <w:rFonts w:ascii="Aptos" w:hAnsi="Aptos" w:cs="Calibri"/>
          <w:sz w:val="20"/>
          <w:szCs w:val="20"/>
        </w:rPr>
        <w:t xml:space="preserve"> late payments unless the publisher deems it necessary.</w:t>
      </w:r>
      <w:r w:rsidR="00ED5C19" w:rsidRPr="00ED5C19">
        <w:rPr>
          <w:rFonts w:ascii="Calibri" w:hAnsi="Calibri" w:cs="Calibri"/>
          <w:sz w:val="20"/>
          <w:szCs w:val="20"/>
        </w:rPr>
        <w:t xml:space="preserve">    </w:t>
      </w:r>
    </w:p>
    <w:p w14:paraId="6540BF5A" w14:textId="5AA30651" w:rsidR="00ED5C19" w:rsidRPr="00DB3327" w:rsidRDefault="00ED5C19" w:rsidP="00DB3327">
      <w:pPr>
        <w:pStyle w:val="ListParagraph"/>
        <w:numPr>
          <w:ilvl w:val="0"/>
          <w:numId w:val="4"/>
        </w:numPr>
        <w:spacing w:after="0" w:line="240" w:lineRule="auto"/>
        <w:rPr>
          <w:rFonts w:eastAsia="Times New Roman" w:cs="Calibri"/>
          <w:sz w:val="20"/>
          <w:szCs w:val="20"/>
        </w:rPr>
      </w:pPr>
      <w:r w:rsidRPr="00DB3327">
        <w:rPr>
          <w:b/>
          <w:bCs/>
          <w:sz w:val="20"/>
          <w:szCs w:val="20"/>
        </w:rPr>
        <w:t xml:space="preserve">LATE PAYMENT POLICY </w:t>
      </w:r>
    </w:p>
    <w:p w14:paraId="226DDBF4" w14:textId="12A87FEF" w:rsidR="00ED5C19" w:rsidRPr="00ED5C19" w:rsidRDefault="00ED5C19" w:rsidP="00ED5C19">
      <w:pPr>
        <w:pStyle w:val="ListParagraph"/>
        <w:numPr>
          <w:ilvl w:val="0"/>
          <w:numId w:val="13"/>
        </w:numPr>
        <w:spacing w:after="0" w:line="240" w:lineRule="auto"/>
        <w:ind w:left="709"/>
        <w:rPr>
          <w:rFonts w:eastAsia="Times New Roman" w:cs="Calibri"/>
          <w:sz w:val="20"/>
          <w:szCs w:val="20"/>
        </w:rPr>
      </w:pPr>
      <w:r w:rsidRPr="00ED5C19">
        <w:rPr>
          <w:rFonts w:eastAsia="Times New Roman" w:cs="Calibri"/>
          <w:sz w:val="20"/>
          <w:szCs w:val="20"/>
        </w:rPr>
        <w:t xml:space="preserve">Payment reminders will be sent automatically for all overdue invoices. </w:t>
      </w:r>
    </w:p>
    <w:p w14:paraId="6B9BE087" w14:textId="6FA9F98D" w:rsidR="00ED5C19" w:rsidRPr="00ED5C19" w:rsidRDefault="00ED5C19" w:rsidP="00ED5C19">
      <w:pPr>
        <w:pStyle w:val="ListParagraph"/>
        <w:numPr>
          <w:ilvl w:val="0"/>
          <w:numId w:val="13"/>
        </w:numPr>
        <w:spacing w:after="0" w:line="240" w:lineRule="auto"/>
        <w:ind w:left="709"/>
        <w:rPr>
          <w:rFonts w:eastAsia="Times New Roman" w:cs="Calibri"/>
          <w:sz w:val="20"/>
          <w:szCs w:val="20"/>
        </w:rPr>
      </w:pPr>
      <w:r w:rsidRPr="00ED5C19">
        <w:rPr>
          <w:rFonts w:eastAsia="Times New Roman" w:cs="Calibri"/>
          <w:sz w:val="20"/>
          <w:szCs w:val="20"/>
        </w:rPr>
        <w:t xml:space="preserve">Overdue or unpaid balances (more than 14 days past the payment due date) will be subject to </w:t>
      </w:r>
      <w:r>
        <w:rPr>
          <w:rFonts w:eastAsia="Times New Roman" w:cs="Calibri"/>
          <w:sz w:val="20"/>
          <w:szCs w:val="20"/>
        </w:rPr>
        <w:t>a 0.5</w:t>
      </w:r>
      <w:r w:rsidRPr="00ED5C19">
        <w:rPr>
          <w:rFonts w:eastAsia="Times New Roman" w:cs="Calibri"/>
          <w:sz w:val="20"/>
          <w:szCs w:val="20"/>
        </w:rPr>
        <w:t xml:space="preserve">% interest fee per </w:t>
      </w:r>
      <w:r>
        <w:rPr>
          <w:rFonts w:eastAsia="Times New Roman" w:cs="Calibri"/>
          <w:sz w:val="20"/>
          <w:szCs w:val="20"/>
        </w:rPr>
        <w:t>week</w:t>
      </w:r>
      <w:r w:rsidRPr="00ED5C19">
        <w:rPr>
          <w:rFonts w:eastAsia="Times New Roman" w:cs="Calibri"/>
          <w:sz w:val="20"/>
          <w:szCs w:val="20"/>
        </w:rPr>
        <w:t xml:space="preserve">, cumulative and calculated </w:t>
      </w:r>
      <w:r>
        <w:rPr>
          <w:rFonts w:eastAsia="Times New Roman" w:cs="Calibri"/>
          <w:sz w:val="20"/>
          <w:szCs w:val="20"/>
        </w:rPr>
        <w:t xml:space="preserve">weekly every 7 days. </w:t>
      </w:r>
      <w:r w:rsidRPr="00ED5C19">
        <w:rPr>
          <w:rFonts w:eastAsia="Times New Roman" w:cs="Calibri"/>
          <w:sz w:val="20"/>
          <w:szCs w:val="20"/>
        </w:rPr>
        <w:t xml:space="preserve">   </w:t>
      </w:r>
    </w:p>
    <w:p w14:paraId="79BE2C7A" w14:textId="043D6C53" w:rsidR="00DC7D3D" w:rsidRPr="00414E9C" w:rsidRDefault="00DC7D3D" w:rsidP="00414E9C">
      <w:pPr>
        <w:pStyle w:val="ListParagraph"/>
        <w:numPr>
          <w:ilvl w:val="0"/>
          <w:numId w:val="4"/>
        </w:numPr>
        <w:spacing w:after="0" w:line="240" w:lineRule="auto"/>
        <w:rPr>
          <w:sz w:val="20"/>
          <w:szCs w:val="20"/>
        </w:rPr>
      </w:pPr>
      <w:r w:rsidRPr="00414E9C">
        <w:rPr>
          <w:b/>
          <w:bCs/>
          <w:sz w:val="20"/>
          <w:szCs w:val="20"/>
        </w:rPr>
        <w:t>PAYMENT PLANS</w:t>
      </w:r>
      <w:r w:rsidRPr="00414E9C">
        <w:rPr>
          <w:sz w:val="20"/>
          <w:szCs w:val="20"/>
        </w:rPr>
        <w:t xml:space="preserve"> –</w:t>
      </w:r>
      <w:r w:rsidR="00414E9C">
        <w:rPr>
          <w:sz w:val="20"/>
          <w:szCs w:val="20"/>
        </w:rPr>
        <w:t>A</w:t>
      </w:r>
      <w:r w:rsidR="00CD051A" w:rsidRPr="00414E9C">
        <w:rPr>
          <w:sz w:val="20"/>
          <w:szCs w:val="20"/>
        </w:rPr>
        <w:t>re available for advertisers who have booked a six to twelve-month</w:t>
      </w:r>
      <w:r w:rsidRPr="00414E9C">
        <w:rPr>
          <w:sz w:val="20"/>
          <w:szCs w:val="20"/>
        </w:rPr>
        <w:t xml:space="preserve"> advertising package and who wish to spread the cost of the advertising contract either quarterly, biannually, or monthly. Payment plans need to be communicated at the time of booking by selecting the appropriate plan on the booking form. </w:t>
      </w:r>
    </w:p>
    <w:p w14:paraId="0F9F18F6" w14:textId="3DD27ABD" w:rsidR="00DC7D3D" w:rsidRPr="00414E9C" w:rsidRDefault="002D3FAD" w:rsidP="00414E9C">
      <w:pPr>
        <w:pStyle w:val="ListParagraph"/>
        <w:numPr>
          <w:ilvl w:val="0"/>
          <w:numId w:val="4"/>
        </w:numPr>
        <w:autoSpaceDE w:val="0"/>
        <w:autoSpaceDN w:val="0"/>
        <w:adjustRightInd w:val="0"/>
        <w:spacing w:after="0" w:line="240" w:lineRule="auto"/>
        <w:rPr>
          <w:sz w:val="20"/>
          <w:szCs w:val="20"/>
        </w:rPr>
      </w:pPr>
      <w:r w:rsidRPr="00414E9C">
        <w:rPr>
          <w:b/>
          <w:bCs/>
          <w:sz w:val="20"/>
          <w:szCs w:val="20"/>
        </w:rPr>
        <w:t>RESPONSIBILITY</w:t>
      </w:r>
      <w:r w:rsidR="00DC7D3D" w:rsidRPr="00414E9C">
        <w:rPr>
          <w:b/>
          <w:bCs/>
          <w:sz w:val="20"/>
          <w:szCs w:val="20"/>
        </w:rPr>
        <w:t xml:space="preserve"> FOR ADVERTISING CONTENT</w:t>
      </w:r>
      <w:r w:rsidRPr="00414E9C">
        <w:rPr>
          <w:sz w:val="20"/>
          <w:szCs w:val="20"/>
        </w:rPr>
        <w:t xml:space="preserve"> - </w:t>
      </w:r>
      <w:r w:rsidRPr="00414E9C">
        <w:rPr>
          <w:rFonts w:cs="Calibri"/>
          <w:kern w:val="0"/>
          <w:sz w:val="20"/>
          <w:szCs w:val="20"/>
          <w:lang w:val="en-US"/>
        </w:rPr>
        <w:t>All adver</w:t>
      </w:r>
      <w:r w:rsidRPr="00414E9C">
        <w:rPr>
          <w:rFonts w:ascii="Aptos" w:eastAsia="Aptos" w:hAnsi="Aptos" w:cs="Aptos" w:hint="eastAsia"/>
          <w:kern w:val="0"/>
          <w:sz w:val="20"/>
          <w:szCs w:val="20"/>
          <w:lang w:val="en-US"/>
        </w:rPr>
        <w:t>ti</w:t>
      </w:r>
      <w:r w:rsidRPr="00414E9C">
        <w:rPr>
          <w:rFonts w:cs="Calibri"/>
          <w:kern w:val="0"/>
          <w:sz w:val="20"/>
          <w:szCs w:val="20"/>
          <w:lang w:val="en-US"/>
        </w:rPr>
        <w:t>sing bookings submitted to the Publisher are accepted only upon the express condi</w:t>
      </w:r>
      <w:r w:rsidRPr="00414E9C">
        <w:rPr>
          <w:rFonts w:ascii="Aptos" w:eastAsia="Aptos" w:hAnsi="Aptos" w:cs="Aptos" w:hint="eastAsia"/>
          <w:kern w:val="0"/>
          <w:sz w:val="20"/>
          <w:szCs w:val="20"/>
          <w:lang w:val="en-US"/>
        </w:rPr>
        <w:t>ti</w:t>
      </w:r>
      <w:r w:rsidRPr="00414E9C">
        <w:rPr>
          <w:rFonts w:cs="Calibri"/>
          <w:kern w:val="0"/>
          <w:sz w:val="20"/>
          <w:szCs w:val="20"/>
          <w:lang w:val="en-US"/>
        </w:rPr>
        <w:t>on that the Adver</w:t>
      </w:r>
      <w:r w:rsidRPr="00414E9C">
        <w:rPr>
          <w:rFonts w:ascii="Aptos" w:eastAsia="Aptos" w:hAnsi="Aptos" w:cs="Aptos" w:hint="eastAsia"/>
          <w:kern w:val="0"/>
          <w:sz w:val="20"/>
          <w:szCs w:val="20"/>
          <w:lang w:val="en-US"/>
        </w:rPr>
        <w:t>ti</w:t>
      </w:r>
      <w:r w:rsidRPr="00414E9C">
        <w:rPr>
          <w:rFonts w:cs="Calibri"/>
          <w:kern w:val="0"/>
          <w:sz w:val="20"/>
          <w:szCs w:val="20"/>
          <w:lang w:val="en-US"/>
        </w:rPr>
        <w:t>ser, upon lodging material with the Publisher for publica</w:t>
      </w:r>
      <w:r w:rsidRPr="00414E9C">
        <w:rPr>
          <w:rFonts w:ascii="Aptos" w:eastAsia="Aptos" w:hAnsi="Aptos" w:cs="Aptos" w:hint="eastAsia"/>
          <w:kern w:val="0"/>
          <w:sz w:val="20"/>
          <w:szCs w:val="20"/>
          <w:lang w:val="en-US"/>
        </w:rPr>
        <w:t>ti</w:t>
      </w:r>
      <w:r w:rsidRPr="00414E9C">
        <w:rPr>
          <w:rFonts w:cs="Calibri"/>
          <w:kern w:val="0"/>
          <w:sz w:val="20"/>
          <w:szCs w:val="20"/>
          <w:lang w:val="en-US"/>
        </w:rPr>
        <w:t>on or authorising or approving of the publica</w:t>
      </w:r>
      <w:r w:rsidRPr="00414E9C">
        <w:rPr>
          <w:rFonts w:ascii="Aptos" w:eastAsia="Aptos" w:hAnsi="Aptos" w:cs="Aptos" w:hint="eastAsia"/>
          <w:kern w:val="0"/>
          <w:sz w:val="20"/>
          <w:szCs w:val="20"/>
          <w:lang w:val="en-US"/>
        </w:rPr>
        <w:t>ti</w:t>
      </w:r>
      <w:r w:rsidRPr="00414E9C">
        <w:rPr>
          <w:rFonts w:cs="Calibri"/>
          <w:kern w:val="0"/>
          <w:sz w:val="20"/>
          <w:szCs w:val="20"/>
          <w:lang w:val="en-US"/>
        </w:rPr>
        <w:t>on of any material, indemnify the Publisher, its servants and agents against all liability claims or proceedings whatsoever arising from the publica</w:t>
      </w:r>
      <w:r w:rsidRPr="00414E9C">
        <w:rPr>
          <w:rFonts w:ascii="Aptos" w:eastAsia="Aptos" w:hAnsi="Aptos" w:cs="Aptos" w:hint="eastAsia"/>
          <w:kern w:val="0"/>
          <w:sz w:val="20"/>
          <w:szCs w:val="20"/>
          <w:lang w:val="en-US"/>
        </w:rPr>
        <w:t>ti</w:t>
      </w:r>
      <w:r w:rsidRPr="00414E9C">
        <w:rPr>
          <w:rFonts w:cs="Calibri"/>
          <w:kern w:val="0"/>
          <w:sz w:val="20"/>
          <w:szCs w:val="20"/>
          <w:lang w:val="en-US"/>
        </w:rPr>
        <w:t>on and without limi</w:t>
      </w:r>
      <w:r w:rsidRPr="00414E9C">
        <w:rPr>
          <w:rFonts w:ascii="Aptos" w:eastAsia="Aptos" w:hAnsi="Aptos" w:cs="Aptos" w:hint="eastAsia"/>
          <w:kern w:val="0"/>
          <w:sz w:val="20"/>
          <w:szCs w:val="20"/>
          <w:lang w:val="en-US"/>
        </w:rPr>
        <w:t>ti</w:t>
      </w:r>
      <w:r w:rsidRPr="00414E9C">
        <w:rPr>
          <w:rFonts w:cs="Calibri"/>
          <w:kern w:val="0"/>
          <w:sz w:val="20"/>
          <w:szCs w:val="20"/>
          <w:lang w:val="en-US"/>
        </w:rPr>
        <w:t>ng the generality of the foregoing so indemnify each of them in rela</w:t>
      </w:r>
      <w:r w:rsidRPr="00414E9C">
        <w:rPr>
          <w:rFonts w:ascii="Aptos" w:eastAsia="Aptos" w:hAnsi="Aptos" w:cs="Aptos" w:hint="eastAsia"/>
          <w:kern w:val="0"/>
          <w:sz w:val="20"/>
          <w:szCs w:val="20"/>
          <w:lang w:val="en-US"/>
        </w:rPr>
        <w:t>ti</w:t>
      </w:r>
      <w:r w:rsidRPr="00414E9C">
        <w:rPr>
          <w:rFonts w:cs="Calibri"/>
          <w:kern w:val="0"/>
          <w:sz w:val="20"/>
          <w:szCs w:val="20"/>
          <w:lang w:val="en-US"/>
        </w:rPr>
        <w:t>on to defama</w:t>
      </w:r>
      <w:r w:rsidRPr="00414E9C">
        <w:rPr>
          <w:rFonts w:ascii="Aptos" w:eastAsia="Aptos" w:hAnsi="Aptos" w:cs="Aptos" w:hint="eastAsia"/>
          <w:kern w:val="0"/>
          <w:sz w:val="20"/>
          <w:szCs w:val="20"/>
          <w:lang w:val="en-US"/>
        </w:rPr>
        <w:t>ti</w:t>
      </w:r>
      <w:r w:rsidRPr="00414E9C">
        <w:rPr>
          <w:rFonts w:cs="Calibri"/>
          <w:kern w:val="0"/>
          <w:sz w:val="20"/>
          <w:szCs w:val="20"/>
          <w:lang w:val="en-US"/>
        </w:rPr>
        <w:t xml:space="preserve">on, slander or </w:t>
      </w:r>
      <w:r w:rsidRPr="00414E9C">
        <w:rPr>
          <w:rFonts w:ascii="Aptos" w:eastAsia="Aptos" w:hAnsi="Aptos" w:cs="Aptos" w:hint="eastAsia"/>
          <w:kern w:val="0"/>
          <w:sz w:val="20"/>
          <w:szCs w:val="20"/>
          <w:lang w:val="en-US"/>
        </w:rPr>
        <w:t>ti</w:t>
      </w:r>
      <w:r w:rsidRPr="00414E9C">
        <w:rPr>
          <w:rFonts w:cs="Calibri"/>
          <w:kern w:val="0"/>
          <w:sz w:val="20"/>
          <w:szCs w:val="20"/>
          <w:lang w:val="en-US"/>
        </w:rPr>
        <w:t>tle, breach of copyright, infringement of trademarks or names or publica</w:t>
      </w:r>
      <w:r w:rsidRPr="00414E9C">
        <w:rPr>
          <w:rFonts w:ascii="Aptos" w:eastAsia="Aptos" w:hAnsi="Aptos" w:cs="Aptos" w:hint="eastAsia"/>
          <w:kern w:val="0"/>
          <w:sz w:val="20"/>
          <w:szCs w:val="20"/>
          <w:lang w:val="en-US"/>
        </w:rPr>
        <w:t>ti</w:t>
      </w:r>
      <w:r w:rsidRPr="00414E9C">
        <w:rPr>
          <w:rFonts w:cs="Calibri"/>
          <w:kern w:val="0"/>
          <w:sz w:val="20"/>
          <w:szCs w:val="20"/>
          <w:lang w:val="en-US"/>
        </w:rPr>
        <w:t xml:space="preserve">on </w:t>
      </w:r>
      <w:r w:rsidRPr="00414E9C">
        <w:rPr>
          <w:rFonts w:ascii="Aptos" w:eastAsia="Aptos" w:hAnsi="Aptos" w:cs="Aptos" w:hint="eastAsia"/>
          <w:kern w:val="0"/>
          <w:sz w:val="20"/>
          <w:szCs w:val="20"/>
          <w:lang w:val="en-US"/>
        </w:rPr>
        <w:t>ti</w:t>
      </w:r>
      <w:r w:rsidRPr="00414E9C">
        <w:rPr>
          <w:rFonts w:cs="Calibri"/>
          <w:kern w:val="0"/>
          <w:sz w:val="20"/>
          <w:szCs w:val="20"/>
          <w:lang w:val="en-US"/>
        </w:rPr>
        <w:t>tles, unfair compe</w:t>
      </w:r>
      <w:r w:rsidRPr="00414E9C">
        <w:rPr>
          <w:rFonts w:ascii="Aptos" w:eastAsia="Aptos" w:hAnsi="Aptos" w:cs="Aptos" w:hint="eastAsia"/>
          <w:kern w:val="0"/>
          <w:sz w:val="20"/>
          <w:szCs w:val="20"/>
          <w:lang w:val="en-US"/>
        </w:rPr>
        <w:t>titi</w:t>
      </w:r>
      <w:r w:rsidRPr="00414E9C">
        <w:rPr>
          <w:rFonts w:cs="Calibri"/>
          <w:kern w:val="0"/>
          <w:sz w:val="20"/>
          <w:szCs w:val="20"/>
          <w:lang w:val="en-US"/>
        </w:rPr>
        <w:t>on or trade prac</w:t>
      </w:r>
      <w:r w:rsidRPr="00414E9C">
        <w:rPr>
          <w:rFonts w:ascii="Aptos" w:eastAsia="Aptos" w:hAnsi="Aptos" w:cs="Aptos" w:hint="eastAsia"/>
          <w:kern w:val="0"/>
          <w:sz w:val="20"/>
          <w:szCs w:val="20"/>
          <w:lang w:val="en-US"/>
        </w:rPr>
        <w:t>ti</w:t>
      </w:r>
      <w:r w:rsidRPr="00414E9C">
        <w:rPr>
          <w:rFonts w:cs="Calibri"/>
          <w:kern w:val="0"/>
          <w:sz w:val="20"/>
          <w:szCs w:val="20"/>
          <w:lang w:val="en-US"/>
        </w:rPr>
        <w:t>ces, royal</w:t>
      </w:r>
      <w:r w:rsidRPr="00414E9C">
        <w:rPr>
          <w:rFonts w:ascii="Aptos" w:eastAsia="Aptos" w:hAnsi="Aptos" w:cs="Aptos" w:hint="eastAsia"/>
          <w:kern w:val="0"/>
          <w:sz w:val="20"/>
          <w:szCs w:val="20"/>
          <w:lang w:val="en-US"/>
        </w:rPr>
        <w:t>ti</w:t>
      </w:r>
      <w:r w:rsidRPr="00414E9C">
        <w:rPr>
          <w:rFonts w:cs="Calibri"/>
          <w:kern w:val="0"/>
          <w:sz w:val="20"/>
          <w:szCs w:val="20"/>
          <w:lang w:val="en-US"/>
        </w:rPr>
        <w:t>es or viola</w:t>
      </w:r>
      <w:r w:rsidRPr="00414E9C">
        <w:rPr>
          <w:rFonts w:ascii="Aptos" w:eastAsia="Aptos" w:hAnsi="Aptos" w:cs="Aptos" w:hint="eastAsia"/>
          <w:kern w:val="0"/>
          <w:sz w:val="20"/>
          <w:szCs w:val="20"/>
          <w:lang w:val="en-US"/>
        </w:rPr>
        <w:t>ti</w:t>
      </w:r>
      <w:r w:rsidRPr="00414E9C">
        <w:rPr>
          <w:rFonts w:cs="Calibri"/>
          <w:kern w:val="0"/>
          <w:sz w:val="20"/>
          <w:szCs w:val="20"/>
          <w:lang w:val="en-US"/>
        </w:rPr>
        <w:t xml:space="preserve">on of rights of privacy and warrant that the material </w:t>
      </w:r>
      <w:r w:rsidR="003B4152">
        <w:rPr>
          <w:rFonts w:cs="Calibri"/>
          <w:kern w:val="0"/>
          <w:sz w:val="20"/>
          <w:szCs w:val="20"/>
          <w:lang w:val="en-US"/>
        </w:rPr>
        <w:t xml:space="preserve">provided by the advertiser or its representative </w:t>
      </w:r>
      <w:r w:rsidRPr="00414E9C">
        <w:rPr>
          <w:rFonts w:cs="Calibri"/>
          <w:kern w:val="0"/>
          <w:sz w:val="20"/>
          <w:szCs w:val="20"/>
          <w:lang w:val="en-US"/>
        </w:rPr>
        <w:t>complies with all relevant laws and regula</w:t>
      </w:r>
      <w:r w:rsidRPr="00414E9C">
        <w:rPr>
          <w:rFonts w:ascii="Aptos" w:eastAsia="Aptos" w:hAnsi="Aptos" w:cs="Aptos" w:hint="eastAsia"/>
          <w:kern w:val="0"/>
          <w:sz w:val="20"/>
          <w:szCs w:val="20"/>
          <w:lang w:val="en-US"/>
        </w:rPr>
        <w:t>ti</w:t>
      </w:r>
      <w:r w:rsidRPr="00414E9C">
        <w:rPr>
          <w:rFonts w:cs="Calibri"/>
          <w:kern w:val="0"/>
          <w:sz w:val="20"/>
          <w:szCs w:val="20"/>
          <w:lang w:val="en-US"/>
        </w:rPr>
        <w:t>ons and that its publica</w:t>
      </w:r>
      <w:r w:rsidRPr="00414E9C">
        <w:rPr>
          <w:rFonts w:ascii="Aptos" w:eastAsia="Aptos" w:hAnsi="Aptos" w:cs="Aptos" w:hint="eastAsia"/>
          <w:kern w:val="0"/>
          <w:sz w:val="20"/>
          <w:szCs w:val="20"/>
          <w:lang w:val="en-US"/>
        </w:rPr>
        <w:t>ti</w:t>
      </w:r>
      <w:r w:rsidRPr="00414E9C">
        <w:rPr>
          <w:rFonts w:cs="Calibri"/>
          <w:kern w:val="0"/>
          <w:sz w:val="20"/>
          <w:szCs w:val="20"/>
          <w:lang w:val="en-US"/>
        </w:rPr>
        <w:t>on will not give rise to any rights against liabili</w:t>
      </w:r>
      <w:r w:rsidRPr="00414E9C">
        <w:rPr>
          <w:rFonts w:ascii="Aptos" w:eastAsia="Aptos" w:hAnsi="Aptos" w:cs="Aptos" w:hint="eastAsia"/>
          <w:kern w:val="0"/>
          <w:sz w:val="20"/>
          <w:szCs w:val="20"/>
          <w:lang w:val="en-US"/>
        </w:rPr>
        <w:t>ti</w:t>
      </w:r>
      <w:r w:rsidRPr="00414E9C">
        <w:rPr>
          <w:rFonts w:cs="Calibri"/>
          <w:kern w:val="0"/>
          <w:sz w:val="20"/>
          <w:szCs w:val="20"/>
          <w:lang w:val="en-US"/>
        </w:rPr>
        <w:t>es to the Publisher, its servants or agents.</w:t>
      </w:r>
    </w:p>
    <w:sectPr w:rsidR="00DC7D3D" w:rsidRPr="00414E9C" w:rsidSect="00DF0B10">
      <w:headerReference w:type="even" r:id="rId7"/>
      <w:headerReference w:type="default" r:id="rId8"/>
      <w:footerReference w:type="even" r:id="rId9"/>
      <w:footerReference w:type="default" r:id="rId10"/>
      <w:headerReference w:type="first" r:id="rId11"/>
      <w:footerReference w:type="first" r:id="rId12"/>
      <w:pgSz w:w="11907" w:h="16840" w:code="9"/>
      <w:pgMar w:top="1440" w:right="850"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EB112" w14:textId="77777777" w:rsidR="00FE0802" w:rsidRDefault="00FE0802" w:rsidP="00CD051A">
      <w:pPr>
        <w:spacing w:after="0" w:line="240" w:lineRule="auto"/>
      </w:pPr>
      <w:r>
        <w:separator/>
      </w:r>
    </w:p>
  </w:endnote>
  <w:endnote w:type="continuationSeparator" w:id="0">
    <w:p w14:paraId="390F29C2" w14:textId="77777777" w:rsidR="00FE0802" w:rsidRDefault="00FE0802" w:rsidP="00CD0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5A4D7" w14:textId="77777777" w:rsidR="00542101" w:rsidRDefault="005421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56184" w14:textId="7A941BC6" w:rsidR="00CD051A" w:rsidRDefault="00CD051A" w:rsidP="00CD051A">
    <w:pPr>
      <w:pStyle w:val="Footer"/>
      <w:jc w:val="center"/>
    </w:pPr>
    <w:r w:rsidRPr="00542101">
      <w:rPr>
        <w:b/>
        <w:bCs/>
        <w:color w:val="60CAF3" w:themeColor="accent4" w:themeTint="99"/>
      </w:rPr>
      <w:t>297 BRUNKER ROAD, ADAMSTOWN NSW 2289</w:t>
    </w:r>
    <w:r w:rsidRPr="00542101">
      <w:rPr>
        <w:color w:val="60CAF3" w:themeColor="accent4" w:themeTint="99"/>
      </w:rPr>
      <w:t xml:space="preserve"> </w:t>
    </w:r>
    <w:r>
      <w:br/>
    </w:r>
    <w:hyperlink r:id="rId1" w:history="1">
      <w:r w:rsidRPr="000E1EE1">
        <w:rPr>
          <w:rStyle w:val="Hyperlink"/>
        </w:rPr>
        <w:t>ACCOUNTS@WCPMEDIA.COM.AU</w:t>
      </w:r>
    </w:hyperlink>
    <w:r>
      <w:t xml:space="preserve"> | PH: +61 439-496-403 | PH: +61 432-195-942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9CB7" w14:textId="77777777" w:rsidR="00542101" w:rsidRDefault="00542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CFF4C" w14:textId="77777777" w:rsidR="00FE0802" w:rsidRDefault="00FE0802" w:rsidP="00CD051A">
      <w:pPr>
        <w:spacing w:after="0" w:line="240" w:lineRule="auto"/>
      </w:pPr>
      <w:r>
        <w:separator/>
      </w:r>
    </w:p>
  </w:footnote>
  <w:footnote w:type="continuationSeparator" w:id="0">
    <w:p w14:paraId="3CEBDD78" w14:textId="77777777" w:rsidR="00FE0802" w:rsidRDefault="00FE0802" w:rsidP="00CD0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1CBA" w14:textId="77777777" w:rsidR="00542101" w:rsidRDefault="005421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2"/>
    </w:tblGrid>
    <w:tr w:rsidR="00542101" w14:paraId="0855028A" w14:textId="77777777" w:rsidTr="00542101">
      <w:tc>
        <w:tcPr>
          <w:tcW w:w="6242" w:type="dxa"/>
        </w:tcPr>
        <w:p w14:paraId="542EC07E" w14:textId="29D4CA5C" w:rsidR="00542101" w:rsidRDefault="00542101" w:rsidP="00542101">
          <w:pPr>
            <w:pStyle w:val="Header"/>
            <w:jc w:val="center"/>
          </w:pPr>
          <w:r>
            <w:rPr>
              <w:noProof/>
            </w:rPr>
            <w:drawing>
              <wp:inline distT="0" distB="0" distL="0" distR="0" wp14:anchorId="6363E5B7" wp14:editId="01CD29E5">
                <wp:extent cx="2150049" cy="800100"/>
                <wp:effectExtent l="0" t="0" r="3175" b="0"/>
                <wp:docPr id="585358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35875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71077" cy="807925"/>
                        </a:xfrm>
                        <a:prstGeom prst="rect">
                          <a:avLst/>
                        </a:prstGeom>
                      </pic:spPr>
                    </pic:pic>
                  </a:graphicData>
                </a:graphic>
              </wp:inline>
            </w:drawing>
          </w:r>
        </w:p>
      </w:tc>
    </w:tr>
  </w:tbl>
  <w:p w14:paraId="728D16B4" w14:textId="77777777" w:rsidR="00CD051A" w:rsidRDefault="00CD051A" w:rsidP="00CD051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FA30B" w14:textId="77777777" w:rsidR="00542101" w:rsidRDefault="005421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A6056"/>
    <w:multiLevelType w:val="hybridMultilevel"/>
    <w:tmpl w:val="0C00A586"/>
    <w:lvl w:ilvl="0" w:tplc="0B90DFEA">
      <w:start w:val="297"/>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264602"/>
    <w:multiLevelType w:val="multilevel"/>
    <w:tmpl w:val="C2DE612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2D1D5B48"/>
    <w:multiLevelType w:val="multilevel"/>
    <w:tmpl w:val="873CA948"/>
    <w:lvl w:ilvl="0">
      <w:start w:val="1"/>
      <w:numFmt w:val="upperRoman"/>
      <w:lvlText w:val="%1."/>
      <w:lvlJc w:val="right"/>
      <w:pPr>
        <w:ind w:left="108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36F466DC"/>
    <w:multiLevelType w:val="hybridMultilevel"/>
    <w:tmpl w:val="B7BC359A"/>
    <w:lvl w:ilvl="0" w:tplc="C84A6F92">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DD1B0C"/>
    <w:multiLevelType w:val="multilevel"/>
    <w:tmpl w:val="0409001D"/>
    <w:lvl w:ilvl="0">
      <w:start w:val="1"/>
      <w:numFmt w:val="decimal"/>
      <w:lvlText w:val="%1)"/>
      <w:lvlJc w:val="left"/>
      <w:pPr>
        <w:ind w:left="72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439F64D9"/>
    <w:multiLevelType w:val="hybridMultilevel"/>
    <w:tmpl w:val="B1EC4CF6"/>
    <w:lvl w:ilvl="0" w:tplc="2C646DB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6B4B54"/>
    <w:multiLevelType w:val="hybridMultilevel"/>
    <w:tmpl w:val="30F23B98"/>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48B46D80"/>
    <w:multiLevelType w:val="hybridMultilevel"/>
    <w:tmpl w:val="115099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BE43BE6"/>
    <w:multiLevelType w:val="hybridMultilevel"/>
    <w:tmpl w:val="78E08B64"/>
    <w:lvl w:ilvl="0" w:tplc="0C09001B">
      <w:start w:val="1"/>
      <w:numFmt w:val="lowerRoman"/>
      <w:lvlText w:val="%1."/>
      <w:lvlJc w:val="righ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9" w15:restartNumberingAfterBreak="0">
    <w:nsid w:val="53273C95"/>
    <w:multiLevelType w:val="multilevel"/>
    <w:tmpl w:val="C2DE612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57884791"/>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656C23D4"/>
    <w:multiLevelType w:val="hybridMultilevel"/>
    <w:tmpl w:val="10FC098C"/>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9F2471F"/>
    <w:multiLevelType w:val="hybridMultilevel"/>
    <w:tmpl w:val="417A65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80116507">
    <w:abstractNumId w:val="3"/>
  </w:num>
  <w:num w:numId="2" w16cid:durableId="1145319910">
    <w:abstractNumId w:val="4"/>
  </w:num>
  <w:num w:numId="3" w16cid:durableId="1666857314">
    <w:abstractNumId w:val="0"/>
  </w:num>
  <w:num w:numId="4" w16cid:durableId="278804940">
    <w:abstractNumId w:val="5"/>
  </w:num>
  <w:num w:numId="5" w16cid:durableId="462970173">
    <w:abstractNumId w:val="2"/>
  </w:num>
  <w:num w:numId="6" w16cid:durableId="590626988">
    <w:abstractNumId w:val="10"/>
  </w:num>
  <w:num w:numId="7" w16cid:durableId="1329746087">
    <w:abstractNumId w:val="9"/>
  </w:num>
  <w:num w:numId="8" w16cid:durableId="281308721">
    <w:abstractNumId w:val="6"/>
  </w:num>
  <w:num w:numId="9" w16cid:durableId="641932436">
    <w:abstractNumId w:val="11"/>
  </w:num>
  <w:num w:numId="10" w16cid:durableId="595404155">
    <w:abstractNumId w:val="1"/>
  </w:num>
  <w:num w:numId="11" w16cid:durableId="8289850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1387760">
    <w:abstractNumId w:val="8"/>
  </w:num>
  <w:num w:numId="13" w16cid:durableId="892816944">
    <w:abstractNumId w:val="7"/>
  </w:num>
  <w:num w:numId="14" w16cid:durableId="13253563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222"/>
    <w:rsid w:val="00052EAE"/>
    <w:rsid w:val="00087EBB"/>
    <w:rsid w:val="00257F16"/>
    <w:rsid w:val="002D3FAD"/>
    <w:rsid w:val="003B4152"/>
    <w:rsid w:val="003D59DF"/>
    <w:rsid w:val="00414E9C"/>
    <w:rsid w:val="004B4DF7"/>
    <w:rsid w:val="004B79F3"/>
    <w:rsid w:val="0053105B"/>
    <w:rsid w:val="00542101"/>
    <w:rsid w:val="00567CD0"/>
    <w:rsid w:val="00577EFF"/>
    <w:rsid w:val="00621CA4"/>
    <w:rsid w:val="00656E58"/>
    <w:rsid w:val="008B7F0F"/>
    <w:rsid w:val="008F781E"/>
    <w:rsid w:val="00921012"/>
    <w:rsid w:val="009E066D"/>
    <w:rsid w:val="009F508A"/>
    <w:rsid w:val="00A145A1"/>
    <w:rsid w:val="00AD7195"/>
    <w:rsid w:val="00B2329A"/>
    <w:rsid w:val="00B60CA9"/>
    <w:rsid w:val="00BA56FD"/>
    <w:rsid w:val="00BC0348"/>
    <w:rsid w:val="00CD051A"/>
    <w:rsid w:val="00D15222"/>
    <w:rsid w:val="00DB3327"/>
    <w:rsid w:val="00DC7D3D"/>
    <w:rsid w:val="00DF0B10"/>
    <w:rsid w:val="00ED5C19"/>
    <w:rsid w:val="00F62D85"/>
    <w:rsid w:val="00FE08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0E0FA6"/>
  <w15:chartTrackingRefBased/>
  <w15:docId w15:val="{B681C6EB-CF18-4B3B-931D-13FDB5E2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5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5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52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52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52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5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2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52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52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52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52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5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222"/>
    <w:rPr>
      <w:rFonts w:eastAsiaTheme="majorEastAsia" w:cstheme="majorBidi"/>
      <w:color w:val="272727" w:themeColor="text1" w:themeTint="D8"/>
    </w:rPr>
  </w:style>
  <w:style w:type="paragraph" w:styleId="Title">
    <w:name w:val="Title"/>
    <w:basedOn w:val="Normal"/>
    <w:next w:val="Normal"/>
    <w:link w:val="TitleChar"/>
    <w:uiPriority w:val="10"/>
    <w:qFormat/>
    <w:rsid w:val="00D15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222"/>
    <w:pPr>
      <w:spacing w:before="160"/>
      <w:jc w:val="center"/>
    </w:pPr>
    <w:rPr>
      <w:i/>
      <w:iCs/>
      <w:color w:val="404040" w:themeColor="text1" w:themeTint="BF"/>
    </w:rPr>
  </w:style>
  <w:style w:type="character" w:customStyle="1" w:styleId="QuoteChar">
    <w:name w:val="Quote Char"/>
    <w:basedOn w:val="DefaultParagraphFont"/>
    <w:link w:val="Quote"/>
    <w:uiPriority w:val="29"/>
    <w:rsid w:val="00D15222"/>
    <w:rPr>
      <w:i/>
      <w:iCs/>
      <w:color w:val="404040" w:themeColor="text1" w:themeTint="BF"/>
    </w:rPr>
  </w:style>
  <w:style w:type="paragraph" w:styleId="ListParagraph">
    <w:name w:val="List Paragraph"/>
    <w:basedOn w:val="Normal"/>
    <w:uiPriority w:val="34"/>
    <w:qFormat/>
    <w:rsid w:val="00D15222"/>
    <w:pPr>
      <w:ind w:left="720"/>
      <w:contextualSpacing/>
    </w:pPr>
  </w:style>
  <w:style w:type="character" w:styleId="IntenseEmphasis">
    <w:name w:val="Intense Emphasis"/>
    <w:basedOn w:val="DefaultParagraphFont"/>
    <w:uiPriority w:val="21"/>
    <w:qFormat/>
    <w:rsid w:val="00D15222"/>
    <w:rPr>
      <w:i/>
      <w:iCs/>
      <w:color w:val="0F4761" w:themeColor="accent1" w:themeShade="BF"/>
    </w:rPr>
  </w:style>
  <w:style w:type="paragraph" w:styleId="IntenseQuote">
    <w:name w:val="Intense Quote"/>
    <w:basedOn w:val="Normal"/>
    <w:next w:val="Normal"/>
    <w:link w:val="IntenseQuoteChar"/>
    <w:uiPriority w:val="30"/>
    <w:qFormat/>
    <w:rsid w:val="00D15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5222"/>
    <w:rPr>
      <w:i/>
      <w:iCs/>
      <w:color w:val="0F4761" w:themeColor="accent1" w:themeShade="BF"/>
    </w:rPr>
  </w:style>
  <w:style w:type="character" w:styleId="IntenseReference">
    <w:name w:val="Intense Reference"/>
    <w:basedOn w:val="DefaultParagraphFont"/>
    <w:uiPriority w:val="32"/>
    <w:qFormat/>
    <w:rsid w:val="00D15222"/>
    <w:rPr>
      <w:b/>
      <w:bCs/>
      <w:smallCaps/>
      <w:color w:val="0F4761" w:themeColor="accent1" w:themeShade="BF"/>
      <w:spacing w:val="5"/>
    </w:rPr>
  </w:style>
  <w:style w:type="paragraph" w:styleId="Header">
    <w:name w:val="header"/>
    <w:basedOn w:val="Normal"/>
    <w:link w:val="HeaderChar"/>
    <w:uiPriority w:val="99"/>
    <w:unhideWhenUsed/>
    <w:rsid w:val="00CD0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51A"/>
  </w:style>
  <w:style w:type="paragraph" w:styleId="Footer">
    <w:name w:val="footer"/>
    <w:basedOn w:val="Normal"/>
    <w:link w:val="FooterChar"/>
    <w:uiPriority w:val="99"/>
    <w:unhideWhenUsed/>
    <w:rsid w:val="00CD0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51A"/>
  </w:style>
  <w:style w:type="table" w:styleId="TableGrid">
    <w:name w:val="Table Grid"/>
    <w:basedOn w:val="TableNormal"/>
    <w:uiPriority w:val="39"/>
    <w:rsid w:val="00CD0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051A"/>
    <w:rPr>
      <w:color w:val="467886" w:themeColor="hyperlink"/>
      <w:u w:val="single"/>
    </w:rPr>
  </w:style>
  <w:style w:type="character" w:styleId="UnresolvedMention">
    <w:name w:val="Unresolved Mention"/>
    <w:basedOn w:val="DefaultParagraphFont"/>
    <w:uiPriority w:val="99"/>
    <w:semiHidden/>
    <w:unhideWhenUsed/>
    <w:rsid w:val="00CD0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24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CCOUNTS@WCPMEDIA.COM.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von Essen</dc:creator>
  <cp:keywords/>
  <dc:description/>
  <cp:lastModifiedBy>Dianne von Essen</cp:lastModifiedBy>
  <cp:revision>2</cp:revision>
  <cp:lastPrinted>2024-03-26T06:40:00Z</cp:lastPrinted>
  <dcterms:created xsi:type="dcterms:W3CDTF">2026-05-08T06:29:00Z</dcterms:created>
  <dcterms:modified xsi:type="dcterms:W3CDTF">2026-05-08T06:29:00Z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64d2e23b-188c-4c82-b646-b42e7d835f59</vt:lpwstr>
  </property>
</Properties>
</file>